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98724" w14:textId="31305460" w:rsidR="00BA319A" w:rsidRPr="00BA319A" w:rsidRDefault="00B3608C" w:rsidP="00BA319A">
      <w:pPr>
        <w:rPr>
          <w:rFonts w:ascii="Verdana" w:hAnsi="Verdana"/>
          <w:b/>
          <w:bCs/>
          <w:color w:val="000000" w:themeColor="text1"/>
          <w:sz w:val="28"/>
          <w:szCs w:val="28"/>
        </w:rPr>
      </w:pPr>
      <w:r>
        <w:rPr>
          <w:rFonts w:ascii="Verdana" w:hAnsi="Verdana"/>
          <w:b/>
          <w:sz w:val="28"/>
        </w:rPr>
        <w:t xml:space="preserve">Sessão 3. </w:t>
      </w:r>
      <w:r>
        <w:rPr>
          <w:rFonts w:ascii="Verdana" w:hAnsi="Verdana"/>
          <w:b/>
          <w:color w:val="000000" w:themeColor="text1"/>
          <w:sz w:val="28"/>
        </w:rPr>
        <w:t>Reforço de competências em matéria de cibercrime</w:t>
      </w:r>
    </w:p>
    <w:p w14:paraId="1D0E3DC5" w14:textId="14C23F0E" w:rsidR="00C115FC" w:rsidRPr="00C115FC" w:rsidRDefault="00C115FC" w:rsidP="00BA319A">
      <w:pPr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34338673" w14:textId="2621B600" w:rsidR="00BA319A" w:rsidRPr="00BA319A" w:rsidRDefault="00C115FC" w:rsidP="00BA319A">
            <w:pPr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>Sessão 3.</w:t>
            </w:r>
            <w:r>
              <w:rPr>
                <w:rFonts w:ascii="Verdana" w:hAnsi="Verdana"/>
                <w:color w:val="000000" w:themeColor="text1"/>
                <w:sz w:val="28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22"/>
              </w:rPr>
              <w:t>Reforço de competências em matéria de cibercrime</w:t>
            </w:r>
          </w:p>
          <w:p w14:paraId="0067FF35" w14:textId="37B9BDEC" w:rsidR="00D82C18" w:rsidRPr="00BA319A" w:rsidRDefault="00D82C18" w:rsidP="00C115F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19F6CA89" w:rsidR="00D82C18" w:rsidRPr="00D82C18" w:rsidRDefault="00D82C18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 xml:space="preserve">Duração: </w:t>
            </w:r>
            <w:r>
              <w:rPr>
                <w:rFonts w:ascii="Verdana" w:hAnsi="Verdana"/>
                <w:color w:val="000000" w:themeColor="text1"/>
                <w:sz w:val="22"/>
              </w:rPr>
              <w:t xml:space="preserve">180 minutos </w:t>
            </w:r>
          </w:p>
        </w:tc>
      </w:tr>
      <w:tr w:rsidR="00E7344B" w:rsidRPr="00D82C18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B1C3404" w14:textId="68B9BEF1" w:rsidR="00E7344B" w:rsidRPr="000F7896" w:rsidRDefault="00E7344B" w:rsidP="000F7896">
            <w:pPr>
              <w:spacing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Recursos necessários: </w:t>
            </w:r>
          </w:p>
          <w:p w14:paraId="060400D8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proofErr w:type="spellStart"/>
            <w:r>
              <w:t>PC/computador</w:t>
            </w:r>
            <w:proofErr w:type="spellEnd"/>
            <w:r>
              <w:t xml:space="preserve"> portátil que disponha de versões de </w:t>
            </w:r>
            <w:proofErr w:type="gramStart"/>
            <w:r>
              <w:t>software</w:t>
            </w:r>
            <w:proofErr w:type="gramEnd"/>
            <w:r>
              <w:t xml:space="preserve"> compatíveis com os materiais preparados </w:t>
            </w:r>
          </w:p>
          <w:p w14:paraId="62A10C2C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Acesso à Internet (se disponível) </w:t>
            </w:r>
          </w:p>
          <w:p w14:paraId="575CEC8B" w14:textId="2BC4AD0F" w:rsidR="000F7896" w:rsidRPr="000F2415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PowerPoint ou outro </w:t>
            </w:r>
            <w:proofErr w:type="gramStart"/>
            <w:r>
              <w:t>software</w:t>
            </w:r>
            <w:proofErr w:type="gramEnd"/>
            <w:r>
              <w:t xml:space="preserve"> de apresentação</w:t>
            </w:r>
          </w:p>
          <w:p w14:paraId="332FD046" w14:textId="44D69D98" w:rsidR="000F2415" w:rsidRPr="00773F6C" w:rsidRDefault="000F2415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>Modelo do artigo 31.º</w:t>
            </w:r>
          </w:p>
          <w:p w14:paraId="14CF9EF0" w14:textId="6F36593B" w:rsidR="000F7896" w:rsidRPr="000F7896" w:rsidRDefault="000F7896" w:rsidP="00B56791">
            <w:pPr>
              <w:pStyle w:val="bul1"/>
              <w:numPr>
                <w:ilvl w:val="0"/>
                <w:numId w:val="0"/>
              </w:numPr>
              <w:spacing w:after="120" w:line="280" w:lineRule="exact"/>
              <w:ind w:left="851" w:hanging="851"/>
              <w:rPr>
                <w:lang w:val="en-US"/>
              </w:rPr>
            </w:pPr>
          </w:p>
        </w:tc>
      </w:tr>
      <w:tr w:rsidR="00E7344B" w:rsidRPr="00D82C18" w14:paraId="635F2EFD" w14:textId="77777777" w:rsidTr="000F2415">
        <w:trPr>
          <w:trHeight w:val="1403"/>
        </w:trPr>
        <w:tc>
          <w:tcPr>
            <w:tcW w:w="9010" w:type="dxa"/>
            <w:gridSpan w:val="3"/>
            <w:vAlign w:val="center"/>
          </w:tcPr>
          <w:p w14:paraId="34602AF3" w14:textId="4EFED0D5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 da sessão:</w:t>
            </w:r>
            <w:r w:rsidR="00042B84">
              <w:rPr>
                <w:rFonts w:ascii="Verdana" w:hAnsi="Verdana"/>
                <w:b/>
                <w:sz w:val="22"/>
              </w:rPr>
              <w:t xml:space="preserve"> </w:t>
            </w:r>
          </w:p>
          <w:p w14:paraId="7A737B56" w14:textId="0F692F34" w:rsidR="00BA319A" w:rsidRPr="00BA319A" w:rsidRDefault="00BA319A" w:rsidP="00BA319A">
            <w:pPr>
              <w:contextualSpacing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</w:rPr>
              <w:t>O objetivo desta sessão é verificar o nível de compreensão por parte dos participantes dos temas anteriormente apresentados através da análise de estudos de casos práticos.</w:t>
            </w:r>
          </w:p>
          <w:p w14:paraId="3FE58655" w14:textId="04E941D8" w:rsidR="00A03CF0" w:rsidRPr="004D35F1" w:rsidRDefault="00A03CF0" w:rsidP="00B56791">
            <w:pPr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03CF0" w:rsidRPr="00D82C18" w14:paraId="1B5A80A7" w14:textId="77777777" w:rsidTr="000F2415">
        <w:trPr>
          <w:trHeight w:val="2690"/>
        </w:trPr>
        <w:tc>
          <w:tcPr>
            <w:tcW w:w="9010" w:type="dxa"/>
            <w:gridSpan w:val="3"/>
          </w:tcPr>
          <w:p w14:paraId="72A48270" w14:textId="77777777" w:rsidR="00B40FCA" w:rsidRDefault="00B40FCA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</w:p>
          <w:p w14:paraId="559A7E05" w14:textId="3672F16C" w:rsidR="00A03CF0" w:rsidRPr="00271010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Objetivos:</w:t>
            </w:r>
          </w:p>
          <w:p w14:paraId="5A1E9EBA" w14:textId="27C13040" w:rsidR="000F2415" w:rsidRPr="000F2415" w:rsidRDefault="000F2415" w:rsidP="000F2415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</w:rPr>
              <w:t>Analisar a síntese do estudo de caso no ambiente do trabalho de grupo</w:t>
            </w:r>
          </w:p>
          <w:p w14:paraId="3964C5BE" w14:textId="77777777" w:rsidR="000F2415" w:rsidRPr="000F2415" w:rsidRDefault="000F2415" w:rsidP="000F2415">
            <w:pPr>
              <w:tabs>
                <w:tab w:val="left" w:pos="426"/>
                <w:tab w:val="left" w:pos="851"/>
              </w:tabs>
              <w:ind w:left="360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en-US"/>
              </w:rPr>
            </w:pPr>
          </w:p>
          <w:p w14:paraId="63BC2D92" w14:textId="6A02D03B" w:rsidR="000F2415" w:rsidRPr="000F2415" w:rsidRDefault="000F2415" w:rsidP="000F2415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</w:rPr>
              <w:t>Aplicar os conhecimentos adquiridos no Curso Judiciário Especializado sobre Cooperação Internacional ao estudo de caso</w:t>
            </w:r>
          </w:p>
          <w:p w14:paraId="08FB48D8" w14:textId="77777777" w:rsidR="000F2415" w:rsidRPr="000F2415" w:rsidRDefault="000F2415" w:rsidP="000F2415">
            <w:pPr>
              <w:tabs>
                <w:tab w:val="left" w:pos="426"/>
                <w:tab w:val="left" w:pos="851"/>
              </w:tabs>
              <w:ind w:left="360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en-US"/>
              </w:rPr>
            </w:pPr>
          </w:p>
          <w:p w14:paraId="452D1860" w14:textId="2B263F0B" w:rsidR="000F2415" w:rsidRPr="000F2415" w:rsidRDefault="000F2415" w:rsidP="000F2415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</w:rPr>
              <w:t>Relatar as conclusões do estudo de caso</w:t>
            </w:r>
          </w:p>
          <w:p w14:paraId="754D41CA" w14:textId="77777777" w:rsidR="000F2415" w:rsidRPr="000F2415" w:rsidRDefault="000F2415" w:rsidP="000F2415">
            <w:pPr>
              <w:tabs>
                <w:tab w:val="left" w:pos="426"/>
                <w:tab w:val="left" w:pos="851"/>
              </w:tabs>
              <w:ind w:left="360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en-US"/>
              </w:rPr>
            </w:pPr>
          </w:p>
          <w:p w14:paraId="61ABEAC5" w14:textId="192CAB96" w:rsidR="004D35F1" w:rsidRPr="000F2415" w:rsidRDefault="000F2415" w:rsidP="000F2415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</w:rPr>
              <w:t>Compreender quais são as lacunas ainda existentes e o que deve ser feito a esse respeito</w:t>
            </w:r>
          </w:p>
        </w:tc>
      </w:tr>
      <w:tr w:rsidR="005703B7" w:rsidRPr="00D82C18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9A6E0DE" w:rsidR="005703B7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</w:rPr>
              <w:t>Orientação para o formador</w:t>
            </w:r>
          </w:p>
          <w:p w14:paraId="4A62EF5F" w14:textId="0CCF50E3" w:rsidR="004D35F1" w:rsidRDefault="004D35F1" w:rsidP="00F62A15">
            <w:pPr>
              <w:spacing w:before="120" w:after="120" w:line="280" w:lineRule="exac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Durante a sessão, devem ser considerados os seguintes temas:</w:t>
            </w:r>
          </w:p>
          <w:p w14:paraId="4F2E7318" w14:textId="44023057" w:rsidR="00F824B2" w:rsidRPr="000F2415" w:rsidRDefault="000F2415" w:rsidP="000F2415">
            <w:pPr>
              <w:pStyle w:val="ListParagraph"/>
              <w:widowControl w:val="0"/>
              <w:numPr>
                <w:ilvl w:val="0"/>
                <w:numId w:val="15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Introdução ao estudo de caso</w:t>
            </w:r>
          </w:p>
          <w:p w14:paraId="23056488" w14:textId="55CC9F83" w:rsidR="000F2415" w:rsidRPr="000F2415" w:rsidRDefault="000F2415" w:rsidP="000F2415">
            <w:pPr>
              <w:pStyle w:val="ListParagraph"/>
              <w:widowControl w:val="0"/>
              <w:numPr>
                <w:ilvl w:val="0"/>
                <w:numId w:val="15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Divisão do grupo</w:t>
            </w:r>
          </w:p>
          <w:p w14:paraId="261056EF" w14:textId="0ABDB081" w:rsidR="000F2415" w:rsidRPr="000F2415" w:rsidRDefault="000F2415" w:rsidP="000F2415">
            <w:pPr>
              <w:pStyle w:val="ListParagraph"/>
              <w:widowControl w:val="0"/>
              <w:numPr>
                <w:ilvl w:val="0"/>
                <w:numId w:val="15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Atribuição de tempo para a análise</w:t>
            </w:r>
          </w:p>
          <w:p w14:paraId="2A28FAAA" w14:textId="2F9BC450" w:rsidR="000F2415" w:rsidRPr="000F2415" w:rsidRDefault="000F2415" w:rsidP="000F2415">
            <w:pPr>
              <w:pStyle w:val="ListParagraph"/>
              <w:widowControl w:val="0"/>
              <w:numPr>
                <w:ilvl w:val="0"/>
                <w:numId w:val="15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Atribuição de tempo para o relatório do grupo</w:t>
            </w:r>
          </w:p>
          <w:p w14:paraId="02172638" w14:textId="77777777" w:rsidR="000F2415" w:rsidRDefault="000F2415" w:rsidP="000F2415">
            <w:pPr>
              <w:pStyle w:val="ListParagraph"/>
              <w:widowControl w:val="0"/>
              <w:numPr>
                <w:ilvl w:val="0"/>
                <w:numId w:val="15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Estudo de caso</w:t>
            </w:r>
          </w:p>
          <w:p w14:paraId="41DA5A85" w14:textId="77777777" w:rsidR="000F2415" w:rsidRDefault="000F2415" w:rsidP="000F2415">
            <w:pPr>
              <w:pStyle w:val="ListParagraph"/>
              <w:widowControl w:val="0"/>
              <w:numPr>
                <w:ilvl w:val="0"/>
                <w:numId w:val="15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Relatório do grupo</w:t>
            </w:r>
          </w:p>
          <w:p w14:paraId="62AB3B6E" w14:textId="77777777" w:rsidR="000F2415" w:rsidRDefault="000F2415" w:rsidP="000F2415">
            <w:pPr>
              <w:pStyle w:val="ListParagraph"/>
              <w:widowControl w:val="0"/>
              <w:numPr>
                <w:ilvl w:val="0"/>
                <w:numId w:val="15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Questões a abordar</w:t>
            </w:r>
          </w:p>
          <w:p w14:paraId="5EFF4BEF" w14:textId="53F93B2B" w:rsidR="000F2415" w:rsidRPr="00F824B2" w:rsidRDefault="000F2415" w:rsidP="000F2415">
            <w:pPr>
              <w:pStyle w:val="ListParagraph"/>
              <w:widowControl w:val="0"/>
              <w:numPr>
                <w:ilvl w:val="0"/>
                <w:numId w:val="15"/>
              </w:num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Conclusões do exercício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</w:rPr>
              <w:t>Teor da sessão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Números dos slides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Teor</w:t>
            </w:r>
          </w:p>
        </w:tc>
      </w:tr>
      <w:tr w:rsidR="00F1574D" w:rsidRPr="00D82C18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67083237" w14:textId="7BCA6E59" w:rsidR="00D82C18" w:rsidRDefault="003630E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 a 3</w:t>
            </w:r>
          </w:p>
          <w:p w14:paraId="5A89CF27" w14:textId="71EEF2DB" w:rsidR="00F1574D" w:rsidRPr="00F62A15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36345B59" w14:textId="11CCE798" w:rsidR="00556D69" w:rsidRPr="00556D69" w:rsidRDefault="00556D69" w:rsidP="000F2415">
            <w:pPr>
              <w:spacing w:before="120" w:after="120" w:line="280" w:lineRule="exac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Os slides iniciais são a introdução à sessão e incluem a agenda e os objetivos da sessão.</w:t>
            </w:r>
          </w:p>
        </w:tc>
      </w:tr>
      <w:tr w:rsidR="00A60446" w:rsidRPr="00D82C18" w14:paraId="42D2960A" w14:textId="77777777" w:rsidTr="000F2415">
        <w:trPr>
          <w:trHeight w:val="1160"/>
        </w:trPr>
        <w:tc>
          <w:tcPr>
            <w:tcW w:w="1525" w:type="dxa"/>
            <w:vAlign w:val="center"/>
          </w:tcPr>
          <w:p w14:paraId="3DAC33AA" w14:textId="62080AF5" w:rsidR="00A60446" w:rsidRDefault="00BA6A8F" w:rsidP="00BD7897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4 a 7</w:t>
            </w:r>
          </w:p>
        </w:tc>
        <w:tc>
          <w:tcPr>
            <w:tcW w:w="7485" w:type="dxa"/>
            <w:gridSpan w:val="2"/>
            <w:vAlign w:val="center"/>
          </w:tcPr>
          <w:p w14:paraId="1246D7D4" w14:textId="6BA08A28" w:rsidR="00A60446" w:rsidRDefault="00BA6A8F" w:rsidP="0045500D">
            <w:pPr>
              <w:pStyle w:val="Subtitle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>Estes slides apresentam a introdução ao próprio exercício com explicações sucintas sobre as disposições logísticas para o mesmo.</w:t>
            </w:r>
          </w:p>
        </w:tc>
      </w:tr>
      <w:tr w:rsidR="003B34C4" w:rsidRPr="00D82C18" w14:paraId="19763061" w14:textId="77777777" w:rsidTr="000F2415">
        <w:trPr>
          <w:trHeight w:val="890"/>
        </w:trPr>
        <w:tc>
          <w:tcPr>
            <w:tcW w:w="1525" w:type="dxa"/>
            <w:vAlign w:val="center"/>
          </w:tcPr>
          <w:p w14:paraId="58BC834A" w14:textId="3EF233F9" w:rsidR="003B34C4" w:rsidRDefault="00BA6A8F" w:rsidP="00BD7897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8 a 14</w:t>
            </w:r>
          </w:p>
        </w:tc>
        <w:tc>
          <w:tcPr>
            <w:tcW w:w="7485" w:type="dxa"/>
            <w:gridSpan w:val="2"/>
            <w:vAlign w:val="center"/>
          </w:tcPr>
          <w:p w14:paraId="53059D73" w14:textId="6FE45A6F" w:rsidR="003B34C4" w:rsidRPr="000F2415" w:rsidRDefault="003B34C4" w:rsidP="003B34C4">
            <w:pPr>
              <w:pStyle w:val="Subtitle"/>
              <w:rPr>
                <w:rFonts w:ascii="MinionPro-Bold" w:eastAsia="MS PGothic" w:hAnsi="MinionPro-Bold" w:cs="MS PGothic" w:hint="eastAsia"/>
                <w:iCs w:val="0"/>
                <w:kern w:val="24"/>
                <w:sz w:val="36"/>
                <w:szCs w:val="36"/>
              </w:rPr>
            </w:pPr>
            <w:r>
              <w:rPr>
                <w:rFonts w:ascii="Verdana" w:hAnsi="Verdana"/>
              </w:rPr>
              <w:t>Estes slides apresentam o cenário do estudo de caso. Está disponível material adicional na pasta de sessão.</w:t>
            </w:r>
          </w:p>
        </w:tc>
      </w:tr>
      <w:tr w:rsidR="003B34C4" w:rsidRPr="00D82C18" w14:paraId="2DD044A7" w14:textId="77777777" w:rsidTr="000F2415">
        <w:trPr>
          <w:trHeight w:val="1439"/>
        </w:trPr>
        <w:tc>
          <w:tcPr>
            <w:tcW w:w="1525" w:type="dxa"/>
            <w:vAlign w:val="center"/>
          </w:tcPr>
          <w:p w14:paraId="4CFF30A3" w14:textId="13FCE405" w:rsidR="003B34C4" w:rsidRDefault="000F2415" w:rsidP="00BD7897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15 a 19</w:t>
            </w:r>
          </w:p>
        </w:tc>
        <w:tc>
          <w:tcPr>
            <w:tcW w:w="7485" w:type="dxa"/>
            <w:gridSpan w:val="2"/>
            <w:vAlign w:val="center"/>
          </w:tcPr>
          <w:p w14:paraId="3579F01E" w14:textId="77777777" w:rsidR="000F2415" w:rsidRDefault="000F2415" w:rsidP="000F2415">
            <w:pPr>
              <w:pStyle w:val="Subtitle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 xml:space="preserve">Estes slides contêm aspetos que já deveriam ter sido abordados pelos participantes durante a análise do estudo de caso. </w:t>
            </w:r>
          </w:p>
          <w:p w14:paraId="72496BFC" w14:textId="4CC7C020" w:rsidR="000F2415" w:rsidRPr="000F2415" w:rsidRDefault="000F2415" w:rsidP="000F2415">
            <w:pPr>
              <w:pStyle w:val="Subtitle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</w:rPr>
              <w:t>No entanto, se faltarem alguns aspetos, o perito deve, se o tempo o permitir, incluí-los na discussão.</w:t>
            </w:r>
          </w:p>
          <w:p w14:paraId="74F9CA3C" w14:textId="4F0292C1" w:rsidR="0023008E" w:rsidRPr="0023008E" w:rsidRDefault="0023008E" w:rsidP="0023008E">
            <w:pPr>
              <w:pStyle w:val="Subtitle"/>
              <w:rPr>
                <w:rFonts w:ascii="Verdana" w:eastAsia="Times New Roman" w:hAnsi="Verdana"/>
                <w:szCs w:val="18"/>
              </w:rPr>
            </w:pPr>
          </w:p>
        </w:tc>
      </w:tr>
      <w:tr w:rsidR="005F709E" w:rsidRPr="00D82C18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16F37E63" w:rsidR="005F709E" w:rsidRDefault="000F2415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20 a 22</w:t>
            </w:r>
          </w:p>
        </w:tc>
        <w:tc>
          <w:tcPr>
            <w:tcW w:w="7485" w:type="dxa"/>
            <w:gridSpan w:val="2"/>
            <w:vAlign w:val="center"/>
          </w:tcPr>
          <w:p w14:paraId="2E2377DE" w14:textId="77EFB7B7" w:rsidR="005F709E" w:rsidRDefault="005F709E" w:rsidP="005F709E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Os slides finais permitem ao formador rever os objetivos de aprendizagem com os participantes de modo a ter a certeza de que foram alcançados. Constitui também uma oportunidade para os participantes levantarem quaisquer questões que tenham ou quando não tiverem compreendido plenamente os temas apresentados.</w:t>
            </w:r>
            <w:r w:rsidR="00042B84">
              <w:rPr>
                <w:rFonts w:ascii="Verdana" w:hAnsi="Verdana"/>
                <w:sz w:val="18"/>
              </w:rPr>
              <w:t xml:space="preserve"> </w:t>
            </w:r>
          </w:p>
          <w:p w14:paraId="4F4159A3" w14:textId="21BA5D76" w:rsidR="005F709E" w:rsidRDefault="005F709E" w:rsidP="005F709E">
            <w:pPr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Além disso, o formador pode utilizar a sessão para verificar os conhecimentos adquiridos colocando perguntas aos participantes. Este aspeto é importante, uma vez que não existe uma avaliação formal para o curso.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Exercícios práticos</w:t>
            </w:r>
          </w:p>
          <w:p w14:paraId="04D65D89" w14:textId="53B80CFD" w:rsidR="00CB3026" w:rsidRPr="00CB3026" w:rsidRDefault="00000C58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Nesta sessão está previsto um estudo de caso.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Fonts w:ascii="Verdana" w:hAnsi="Verdana"/>
                <w:b/>
                <w:sz w:val="22"/>
              </w:rPr>
              <w:t>Avaliação/verificação</w:t>
            </w:r>
            <w:proofErr w:type="spellEnd"/>
            <w:r>
              <w:rPr>
                <w:rFonts w:ascii="Verdana" w:hAnsi="Verdana"/>
                <w:b/>
                <w:sz w:val="22"/>
              </w:rPr>
              <w:t xml:space="preserve"> de conhecimentos</w:t>
            </w:r>
          </w:p>
          <w:p w14:paraId="4496975B" w14:textId="1B3740FD" w:rsidR="00CB3026" w:rsidRPr="00CB3026" w:rsidRDefault="00CB3026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</w:rPr>
              <w:t>Não foi solicitada qualquer verificação ou avaliação de conhecimentos para esta sessão.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inionPro-Bold">
    <w:altName w:val="Cambria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C56D6"/>
    <w:multiLevelType w:val="hybridMultilevel"/>
    <w:tmpl w:val="1070EADA"/>
    <w:lvl w:ilvl="0" w:tplc="6E0E98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E31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651D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877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62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7027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62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6F1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A02A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A3C0F"/>
    <w:multiLevelType w:val="hybridMultilevel"/>
    <w:tmpl w:val="91E0D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 w15:restartNumberingAfterBreak="0">
    <w:nsid w:val="369F3DD4"/>
    <w:multiLevelType w:val="hybridMultilevel"/>
    <w:tmpl w:val="53B6EDE2"/>
    <w:lvl w:ilvl="0" w:tplc="ADF87308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70608A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6C8FA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8AB43C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16B7F0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F67CA8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2A0AA6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D247EE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180FF0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53227"/>
    <w:multiLevelType w:val="hybridMultilevel"/>
    <w:tmpl w:val="979830FA"/>
    <w:lvl w:ilvl="0" w:tplc="5E2668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5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E320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689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E2B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28B5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8845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23D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7C5F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3B62B50"/>
    <w:multiLevelType w:val="hybridMultilevel"/>
    <w:tmpl w:val="ABF09E5A"/>
    <w:lvl w:ilvl="0" w:tplc="5C4AE8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9607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FC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B4D0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98C3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AEF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D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E3E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7E05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4"/>
  </w:num>
  <w:num w:numId="4">
    <w:abstractNumId w:val="12"/>
  </w:num>
  <w:num w:numId="5">
    <w:abstractNumId w:val="13"/>
  </w:num>
  <w:num w:numId="6">
    <w:abstractNumId w:val="23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21"/>
  </w:num>
  <w:num w:numId="10">
    <w:abstractNumId w:val="3"/>
  </w:num>
  <w:num w:numId="11">
    <w:abstractNumId w:val="15"/>
  </w:num>
  <w:num w:numId="12">
    <w:abstractNumId w:val="20"/>
  </w:num>
  <w:num w:numId="13">
    <w:abstractNumId w:val="4"/>
  </w:num>
  <w:num w:numId="14">
    <w:abstractNumId w:val="8"/>
  </w:num>
  <w:num w:numId="15">
    <w:abstractNumId w:val="19"/>
  </w:num>
  <w:num w:numId="16">
    <w:abstractNumId w:val="1"/>
  </w:num>
  <w:num w:numId="17">
    <w:abstractNumId w:val="2"/>
  </w:num>
  <w:num w:numId="18">
    <w:abstractNumId w:val="22"/>
  </w:num>
  <w:num w:numId="19">
    <w:abstractNumId w:val="16"/>
  </w:num>
  <w:num w:numId="20">
    <w:abstractNumId w:val="5"/>
  </w:num>
  <w:num w:numId="21">
    <w:abstractNumId w:val="7"/>
  </w:num>
  <w:num w:numId="22">
    <w:abstractNumId w:val="17"/>
  </w:num>
  <w:num w:numId="23">
    <w:abstractNumId w:val="1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0C58"/>
    <w:rsid w:val="00006EAD"/>
    <w:rsid w:val="00042B84"/>
    <w:rsid w:val="000C40EE"/>
    <w:rsid w:val="000F2415"/>
    <w:rsid w:val="000F7896"/>
    <w:rsid w:val="00151E6A"/>
    <w:rsid w:val="001B3308"/>
    <w:rsid w:val="001D603D"/>
    <w:rsid w:val="0023008E"/>
    <w:rsid w:val="00260809"/>
    <w:rsid w:val="00271010"/>
    <w:rsid w:val="002E3ECE"/>
    <w:rsid w:val="002F3B54"/>
    <w:rsid w:val="0034224C"/>
    <w:rsid w:val="00342639"/>
    <w:rsid w:val="003453F7"/>
    <w:rsid w:val="003630ED"/>
    <w:rsid w:val="003A435F"/>
    <w:rsid w:val="003B34C4"/>
    <w:rsid w:val="003F6587"/>
    <w:rsid w:val="00450007"/>
    <w:rsid w:val="0045500D"/>
    <w:rsid w:val="00457DD3"/>
    <w:rsid w:val="00491738"/>
    <w:rsid w:val="004B7351"/>
    <w:rsid w:val="004D35F1"/>
    <w:rsid w:val="00556D69"/>
    <w:rsid w:val="005703B7"/>
    <w:rsid w:val="005A4E47"/>
    <w:rsid w:val="005D4432"/>
    <w:rsid w:val="005D7794"/>
    <w:rsid w:val="005F709E"/>
    <w:rsid w:val="006527C6"/>
    <w:rsid w:val="006B6FDF"/>
    <w:rsid w:val="0075334E"/>
    <w:rsid w:val="007678A6"/>
    <w:rsid w:val="00773F6C"/>
    <w:rsid w:val="0080315D"/>
    <w:rsid w:val="008147B2"/>
    <w:rsid w:val="00844FBF"/>
    <w:rsid w:val="008817F1"/>
    <w:rsid w:val="008A4C93"/>
    <w:rsid w:val="008C3E42"/>
    <w:rsid w:val="008E3FE7"/>
    <w:rsid w:val="008E4D2C"/>
    <w:rsid w:val="00951791"/>
    <w:rsid w:val="009D1DB1"/>
    <w:rsid w:val="009F336B"/>
    <w:rsid w:val="00A03CF0"/>
    <w:rsid w:val="00A31FA0"/>
    <w:rsid w:val="00A342ED"/>
    <w:rsid w:val="00A4110D"/>
    <w:rsid w:val="00A60446"/>
    <w:rsid w:val="00A734A5"/>
    <w:rsid w:val="00A76996"/>
    <w:rsid w:val="00AA5742"/>
    <w:rsid w:val="00AB07AA"/>
    <w:rsid w:val="00B3608C"/>
    <w:rsid w:val="00B40FCA"/>
    <w:rsid w:val="00B56791"/>
    <w:rsid w:val="00BA319A"/>
    <w:rsid w:val="00BA6A8F"/>
    <w:rsid w:val="00BD7897"/>
    <w:rsid w:val="00C115FC"/>
    <w:rsid w:val="00C541A2"/>
    <w:rsid w:val="00CB02C4"/>
    <w:rsid w:val="00CB3026"/>
    <w:rsid w:val="00CC1F79"/>
    <w:rsid w:val="00CC2222"/>
    <w:rsid w:val="00D62E5F"/>
    <w:rsid w:val="00D82C18"/>
    <w:rsid w:val="00D95669"/>
    <w:rsid w:val="00E13BE7"/>
    <w:rsid w:val="00E7344B"/>
    <w:rsid w:val="00E95703"/>
    <w:rsid w:val="00EE1E16"/>
    <w:rsid w:val="00F1338F"/>
    <w:rsid w:val="00F1574D"/>
    <w:rsid w:val="00F504D6"/>
    <w:rsid w:val="00F62A15"/>
    <w:rsid w:val="00F824B2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7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7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2134</Characters>
  <Application>Microsoft Office Word</Application>
  <DocSecurity>0</DocSecurity>
  <Lines>64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msmtrad</cp:lastModifiedBy>
  <cp:revision>4</cp:revision>
  <dcterms:created xsi:type="dcterms:W3CDTF">2021-07-26T16:49:00Z</dcterms:created>
  <dcterms:modified xsi:type="dcterms:W3CDTF">2021-09-04T11:15:00Z</dcterms:modified>
</cp:coreProperties>
</file>